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1EF0" w14:textId="685D93A4" w:rsidR="00C83D0E" w:rsidRPr="00D70B01" w:rsidRDefault="00C83D0E" w:rsidP="00C83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eastAsia="pl-PL"/>
        </w:rPr>
      </w:pPr>
      <w:r w:rsidRPr="00D70B01">
        <w:rPr>
          <w:rFonts w:ascii="Times New Roman" w:eastAsia="Times New Roman" w:hAnsi="Times New Roman" w:cs="Times New Roman"/>
          <w:szCs w:val="28"/>
          <w:lang w:eastAsia="pl-PL"/>
        </w:rPr>
        <w:t>Załącznik B.175.</w:t>
      </w:r>
    </w:p>
    <w:p w14:paraId="1F8BB1C9" w14:textId="672B5749" w:rsidR="00C83D0E" w:rsidRPr="00D70B01" w:rsidRDefault="00C83D0E" w:rsidP="00C83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8"/>
          <w:lang w:eastAsia="pl-PL"/>
        </w:rPr>
      </w:pPr>
    </w:p>
    <w:p w14:paraId="5FA701E8" w14:textId="496BA09C" w:rsidR="00DF5CF4" w:rsidRPr="00D70B01" w:rsidRDefault="00DF5CF4" w:rsidP="00C83D0E">
      <w:p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D70B0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LECZENIE CHORYCH Z ZESPOŁEM ALAGILLE’A (ICD-10 Q44.7)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1"/>
        <w:gridCol w:w="4771"/>
        <w:gridCol w:w="5350"/>
      </w:tblGrid>
      <w:tr w:rsidR="00064807" w:rsidRPr="00D70B01" w14:paraId="37DABFFD" w14:textId="77777777" w:rsidTr="00B30AE9">
        <w:trPr>
          <w:trHeight w:val="567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C69FD" w14:textId="77777777" w:rsidR="00064807" w:rsidRPr="00D70B01" w:rsidRDefault="00064807" w:rsidP="00064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ZAKRES ŚWIADCZENIA GWARANTOWANEGO</w:t>
            </w:r>
          </w:p>
        </w:tc>
      </w:tr>
      <w:tr w:rsidR="00064807" w:rsidRPr="00D70B01" w14:paraId="2FE7EAB7" w14:textId="77777777" w:rsidTr="00B30AE9">
        <w:trPr>
          <w:trHeight w:val="567"/>
        </w:trPr>
        <w:tc>
          <w:tcPr>
            <w:tcW w:w="17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25C6" w14:textId="77777777" w:rsidR="00064807" w:rsidRPr="00D70B01" w:rsidRDefault="00064807" w:rsidP="00064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ŚWIADCZENIOBIORCY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A071A" w14:textId="77777777" w:rsidR="00064807" w:rsidRPr="00D70B01" w:rsidRDefault="00064807" w:rsidP="00064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SCHEMAT DAWKOWANIA LEKÓW W PROGRAMIE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F590C" w14:textId="77777777" w:rsidR="00064807" w:rsidRPr="00D70B01" w:rsidRDefault="00064807" w:rsidP="00064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BADANIA DIAGNOSTYCZNE WYKONYWANE W RAMACH PROGRAMU</w:t>
            </w:r>
          </w:p>
        </w:tc>
      </w:tr>
      <w:tr w:rsidR="00064807" w:rsidRPr="00064807" w14:paraId="64C7BD0F" w14:textId="77777777" w:rsidTr="00B30AE9">
        <w:tc>
          <w:tcPr>
            <w:tcW w:w="17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0E046" w14:textId="77777777" w:rsidR="007A7B02" w:rsidRPr="00D70B01" w:rsidRDefault="007A7B02" w:rsidP="007A7B02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 programie finansuje się leczenie świądu w przebiegu cholestazy u pacjentów z zespołem Alagille'a:</w:t>
            </w:r>
          </w:p>
          <w:p w14:paraId="535895DA" w14:textId="396396EF" w:rsidR="007A7B02" w:rsidRPr="00D70B01" w:rsidRDefault="007A7B02" w:rsidP="00694F2F">
            <w:pPr>
              <w:pStyle w:val="Akapitzlist"/>
              <w:numPr>
                <w:ilvl w:val="0"/>
                <w:numId w:val="1"/>
              </w:numPr>
              <w:spacing w:after="60" w:line="276" w:lineRule="auto"/>
              <w:ind w:left="454" w:right="153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="00444939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14:paraId="2D56556E" w14:textId="3CA2204F" w:rsidR="00444939" w:rsidRPr="00D70B01" w:rsidRDefault="00444939" w:rsidP="00694F2F">
            <w:pPr>
              <w:pStyle w:val="Akapitzlist"/>
              <w:numPr>
                <w:ilvl w:val="0"/>
                <w:numId w:val="1"/>
              </w:numPr>
              <w:spacing w:after="60" w:line="276" w:lineRule="auto"/>
              <w:ind w:left="454" w:right="153" w:hanging="22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odewiksybatem,</w:t>
            </w:r>
          </w:p>
          <w:p w14:paraId="08799D6C" w14:textId="77777777" w:rsidR="007A7B02" w:rsidRPr="00D70B01" w:rsidRDefault="007A7B02" w:rsidP="007A7B02">
            <w:pPr>
              <w:spacing w:after="60" w:line="276" w:lineRule="auto"/>
              <w:ind w:right="1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Cs/>
                <w:sz w:val="20"/>
                <w:szCs w:val="20"/>
              </w:rPr>
              <w:t>zgodnie ze wskazanymi w opisie programu warunkami i kryteriami.</w:t>
            </w:r>
          </w:p>
          <w:p w14:paraId="193E4184" w14:textId="77777777" w:rsidR="007A7B02" w:rsidRPr="00D70B01" w:rsidRDefault="007A7B02" w:rsidP="007A7B02">
            <w:pPr>
              <w:spacing w:after="60" w:line="276" w:lineRule="auto"/>
              <w:ind w:right="4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641DE7" w14:textId="1EE9DD75" w:rsidR="007A7B02" w:rsidRPr="00D70B01" w:rsidRDefault="007A7B02" w:rsidP="00694F2F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200" w:hanging="218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/>
                <w:sz w:val="20"/>
                <w:szCs w:val="20"/>
              </w:rPr>
              <w:t>Kryteria kwalifikacji</w:t>
            </w:r>
          </w:p>
          <w:p w14:paraId="0FDBDC32" w14:textId="00447991" w:rsidR="007A7B02" w:rsidRPr="00D70B01" w:rsidRDefault="007A7B02" w:rsidP="00694F2F">
            <w:pPr>
              <w:numPr>
                <w:ilvl w:val="0"/>
                <w:numId w:val="3"/>
              </w:numPr>
              <w:spacing w:after="60" w:line="276" w:lineRule="auto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wiek co najmniej 2 miesiące</w:t>
            </w:r>
            <w:r w:rsidR="00444939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w przypadku leczenia </w:t>
            </w:r>
            <w:r w:rsidR="00444939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maraliksybatem </w:t>
            </w:r>
            <w:r w:rsidR="00444939" w:rsidRPr="00D70B01">
              <w:rPr>
                <w:rFonts w:ascii="Times New Roman" w:hAnsi="Times New Roman" w:cs="Times New Roman"/>
                <w:sz w:val="20"/>
                <w:szCs w:val="20"/>
              </w:rPr>
              <w:t>albo wiek co najmniej 6 miesięcy w</w:t>
            </w:r>
            <w:r w:rsidR="004B794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444939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przypadku leczenia </w:t>
            </w:r>
            <w:r w:rsidR="00444939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09B2343" w14:textId="7286BB6C" w:rsidR="007A7B02" w:rsidRPr="00D70B01" w:rsidRDefault="007A7B02" w:rsidP="00694F2F">
            <w:pPr>
              <w:numPr>
                <w:ilvl w:val="0"/>
                <w:numId w:val="3"/>
              </w:numPr>
              <w:spacing w:after="60" w:line="276" w:lineRule="auto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stężenie kwasów żółciowych w surowicy powyżej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70D0" w:rsidRPr="00D70B01">
              <w:rPr>
                <w:rFonts w:ascii="Times New Roman" w:hAnsi="Times New Roman" w:cs="Times New Roman"/>
                <w:sz w:val="20"/>
                <w:szCs w:val="20"/>
              </w:rPr>
              <w:t>40 μmol/l</w:t>
            </w:r>
            <w:r w:rsidR="005C70D0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 ciągu miesiąca przed kwalifikacją do programu;</w:t>
            </w:r>
          </w:p>
          <w:p w14:paraId="5AA4848D" w14:textId="07A52867" w:rsidR="007A7B02" w:rsidRPr="00D70B01" w:rsidRDefault="007A7B02" w:rsidP="00694F2F">
            <w:pPr>
              <w:numPr>
                <w:ilvl w:val="0"/>
                <w:numId w:val="3"/>
              </w:numPr>
              <w:spacing w:after="60" w:line="276" w:lineRule="auto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 wywiadzie trudny w opanowaniu świąd, tj. wynik w</w:t>
            </w:r>
            <w:r w:rsidR="004B794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skali </w:t>
            </w:r>
            <w:proofErr w:type="gramStart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ItchRO(</w:t>
            </w:r>
            <w:proofErr w:type="gramEnd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Obs) </w:t>
            </w:r>
            <w:r w:rsidR="00DB3077" w:rsidRPr="00D70B01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2,0 w ciągu miesiąca przed kwalifikacją do programu</w:t>
            </w:r>
            <w:r w:rsidR="005C70D0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– dotyczy leczenia </w:t>
            </w:r>
            <w:r w:rsidR="005C70D0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47DEC70" w14:textId="36FB5C0D" w:rsidR="007A7B02" w:rsidRPr="009D1BA1" w:rsidRDefault="005C70D0" w:rsidP="009D1BA1">
            <w:pPr>
              <w:numPr>
                <w:ilvl w:val="0"/>
                <w:numId w:val="3"/>
              </w:numPr>
              <w:spacing w:after="60" w:line="276" w:lineRule="auto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 wywiadzie trudny w opanowaniu świąd, tj. wynik w</w:t>
            </w:r>
            <w:r w:rsidR="004B794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skali </w:t>
            </w:r>
            <w:r w:rsidR="00331623" w:rsidRPr="00D70B01">
              <w:rPr>
                <w:rFonts w:ascii="Times New Roman" w:hAnsi="Times New Roman" w:cs="Times New Roman"/>
                <w:sz w:val="20"/>
                <w:szCs w:val="20"/>
              </w:rPr>
              <w:t>Albireo ObsRO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lub Whitington’a ≥2,0 w ciągu miesiąca przed kwalifikacją do programu</w:t>
            </w:r>
            <w:r w:rsidR="00E04261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– dotyczy leczenia </w:t>
            </w:r>
            <w:r w:rsidR="00E04261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E47A7A" w14:textId="7349E750" w:rsidR="007A7B02" w:rsidRPr="00D70B01" w:rsidRDefault="007A7B02" w:rsidP="00694F2F">
            <w:pPr>
              <w:numPr>
                <w:ilvl w:val="0"/>
                <w:numId w:val="3"/>
              </w:numPr>
              <w:spacing w:after="60" w:line="276" w:lineRule="auto"/>
              <w:ind w:left="454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udokumentowany brak skuteczności innych metod leczenia, w tym kwasu ursodeoksycholowego (UDCA) oraz ryfampicyny,</w:t>
            </w:r>
            <w:r w:rsidR="00A05034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po minimum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034" w:rsidRPr="00D70B01">
              <w:rPr>
                <w:rFonts w:ascii="Times New Roman" w:hAnsi="Times New Roman" w:cs="Times New Roman"/>
                <w:sz w:val="20"/>
                <w:szCs w:val="20"/>
              </w:rPr>
              <w:t>trzech miesiącach leczenia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, w optymalnych dawkach na masę ciała;</w:t>
            </w:r>
          </w:p>
          <w:p w14:paraId="613B6279" w14:textId="44C08E5B" w:rsidR="007A7B02" w:rsidRPr="00D70B01" w:rsidRDefault="007A7B02" w:rsidP="00694F2F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brak przeciwwskazań do stosowania leku zgodnie z</w:t>
            </w:r>
            <w:r w:rsidR="004B794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aktualną Charakterystyką Produktu Leczniczego (ChPL);</w:t>
            </w:r>
          </w:p>
          <w:p w14:paraId="3E3DB916" w14:textId="77777777" w:rsidR="007A7B02" w:rsidRPr="00D70B01" w:rsidRDefault="007A7B02" w:rsidP="00694F2F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60F267DE" w14:textId="77777777" w:rsidR="007A7B02" w:rsidRPr="00D70B01" w:rsidRDefault="007A7B02" w:rsidP="00694F2F">
            <w:pPr>
              <w:pStyle w:val="Akapitzlist"/>
              <w:numPr>
                <w:ilvl w:val="0"/>
                <w:numId w:val="3"/>
              </w:numPr>
              <w:spacing w:after="60" w:line="276" w:lineRule="auto"/>
              <w:ind w:left="454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wykluczenie ciąży i okresu karmienia piersią.</w:t>
            </w:r>
          </w:p>
          <w:p w14:paraId="4E87988C" w14:textId="458B1C1F" w:rsidR="007A7B02" w:rsidRPr="00D70B01" w:rsidRDefault="007A7B02" w:rsidP="007A7B02">
            <w:pPr>
              <w:spacing w:after="60" w:line="276" w:lineRule="auto"/>
              <w:ind w:right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Powyższe kryteria kwalifikacji muszą być spełnione łącznie.</w:t>
            </w:r>
            <w:r w:rsidR="004B6DDE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W ramach niniejszego programu lekowego istnieje możliw</w:t>
            </w:r>
            <w:r w:rsidR="003F5BB2">
              <w:rPr>
                <w:rFonts w:ascii="Times New Roman" w:hAnsi="Times New Roman" w:cs="Times New Roman"/>
                <w:sz w:val="20"/>
                <w:szCs w:val="20"/>
              </w:rPr>
              <w:t>oś</w:t>
            </w:r>
            <w:r w:rsidR="004B6DDE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ć jednorazowego zastosowania inhibitora transportera kwasów żółciowych w jelicie krętym (ang. </w:t>
            </w:r>
            <w:r w:rsidR="004B6DDE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ileal bile acid transporter</w:t>
            </w:r>
            <w:r w:rsidR="004B6DDE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, IBAT) u danego pacjenta z wykorzystaniem </w:t>
            </w:r>
            <w:r w:rsidR="004B6DDE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maraliksybatu </w:t>
            </w:r>
            <w:r w:rsidR="004B6DDE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r w:rsidR="004B6DDE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odewiksybatu</w:t>
            </w:r>
            <w:r w:rsidR="004B6DDE" w:rsidRPr="00D70B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F41816" w14:textId="77777777" w:rsidR="007A7B02" w:rsidRPr="00D70B01" w:rsidRDefault="007A7B02" w:rsidP="007A7B02">
            <w:pPr>
              <w:spacing w:after="60" w:line="276" w:lineRule="auto"/>
              <w:ind w:right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21FB25" w14:textId="77777777" w:rsidR="00580D45" w:rsidRPr="00D70B01" w:rsidRDefault="00580D45" w:rsidP="00580D45">
            <w:pPr>
              <w:spacing w:after="60" w:line="276" w:lineRule="auto"/>
              <w:ind w:right="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przypadku stwierdzenia nieakceptowalnej toksyczności leku z grupy IBAT, która skutkuje koniecznością zakończenia leczenia, możliwa jest w uzasadnionych przypadkach zmiana terapii na inny lek z grupy IBAT. Brak skuteczności terapii w trakcie pierwotnie wdrożonego leczenia uniemożliwia taką procedurę.</w:t>
            </w:r>
          </w:p>
          <w:p w14:paraId="4E23813E" w14:textId="77777777" w:rsidR="00580D45" w:rsidRPr="00D70B01" w:rsidRDefault="00580D45" w:rsidP="007A7B02">
            <w:pPr>
              <w:spacing w:after="60" w:line="276" w:lineRule="auto"/>
              <w:ind w:right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CED0B" w14:textId="44AA5DF3" w:rsidR="007A7B02" w:rsidRPr="00D70B01" w:rsidRDefault="007A7B02" w:rsidP="007A7B0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Ponadto do programu lekowego kwalifikowani są również pacjenci, którzy byli leczeni </w:t>
            </w:r>
            <w:r w:rsidR="0094269A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maraliksybatem </w:t>
            </w:r>
            <w:r w:rsidR="0094269A" w:rsidRPr="00D70B0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albo </w:t>
            </w:r>
            <w:r w:rsidR="0094269A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odewiksybatem </w:t>
            </w:r>
            <w:r w:rsidRPr="00D70B0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w ramach innego sposobu finansowania terapii, pod warunkiem, że w chwili rozpoczęcia leczenia spełniali kryteria kwalifikacji do programu lekowego.</w:t>
            </w:r>
          </w:p>
          <w:p w14:paraId="072E8BCD" w14:textId="77777777" w:rsidR="007A7B02" w:rsidRPr="00D70B01" w:rsidRDefault="007A7B02" w:rsidP="007A7B0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FB5F1EB" w14:textId="3797635E" w:rsidR="007A7B02" w:rsidRPr="00D70B01" w:rsidRDefault="007A7B02" w:rsidP="007A7B02">
            <w:pPr>
              <w:pStyle w:val="Tabela-TekstpodstawowyDolewej"/>
              <w:spacing w:after="60" w:line="276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D70B01">
              <w:rPr>
                <w:rFonts w:ascii="Times New Roman" w:hAnsi="Times New Roman"/>
                <w:color w:val="000000"/>
                <w:sz w:val="20"/>
              </w:rPr>
              <w:lastRenderedPageBreak/>
              <w:t>Do programu włączane są, po zweryfikowaniu ogólnego stanu zdrowia pacjenta umożliwiającego leczenie w programie, bez konieczności ponownej kwalifikacji, pacjentki wyłączone z</w:t>
            </w:r>
            <w:r w:rsidR="004B7949">
              <w:rPr>
                <w:rFonts w:ascii="Times New Roman" w:hAnsi="Times New Roman"/>
                <w:color w:val="000000"/>
                <w:sz w:val="20"/>
              </w:rPr>
              <w:t> </w:t>
            </w:r>
            <w:r w:rsidRPr="00D70B01">
              <w:rPr>
                <w:rFonts w:ascii="Times New Roman" w:hAnsi="Times New Roman"/>
                <w:color w:val="000000"/>
                <w:sz w:val="20"/>
              </w:rPr>
              <w:t>programu w związku z ciążą lub karmieniem piersią, które w</w:t>
            </w:r>
            <w:r w:rsidR="004B7949">
              <w:rPr>
                <w:rFonts w:ascii="Times New Roman" w:hAnsi="Times New Roman"/>
                <w:color w:val="000000"/>
                <w:sz w:val="20"/>
              </w:rPr>
              <w:t> </w:t>
            </w:r>
            <w:r w:rsidRPr="00D70B01">
              <w:rPr>
                <w:rFonts w:ascii="Times New Roman" w:hAnsi="Times New Roman"/>
                <w:color w:val="000000"/>
                <w:sz w:val="20"/>
              </w:rPr>
              <w:t>momencie wyłączenia spełniały pozostałe kryteria przedłużenia leczenia.</w:t>
            </w:r>
          </w:p>
          <w:p w14:paraId="224A8A80" w14:textId="77777777" w:rsidR="00B164B1" w:rsidRPr="00D70B01" w:rsidRDefault="00B164B1" w:rsidP="007A7B02">
            <w:pPr>
              <w:spacing w:after="60" w:line="276" w:lineRule="auto"/>
              <w:ind w:right="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4ACD34" w14:textId="05837345" w:rsidR="007A7B02" w:rsidRPr="00D70B01" w:rsidRDefault="007A7B02" w:rsidP="00694F2F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200" w:hanging="218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/>
                <w:sz w:val="20"/>
                <w:szCs w:val="20"/>
              </w:rPr>
              <w:t>Kryteria uniemożliwiające włączenie do programu</w:t>
            </w:r>
          </w:p>
          <w:p w14:paraId="3DAF2167" w14:textId="4959408B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nadwrażliwość </w:t>
            </w:r>
            <w:r w:rsidR="0050622F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na którąkolwiek substancję czynną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lub którąkolwiek substancję pomocniczą;</w:t>
            </w:r>
          </w:p>
          <w:p w14:paraId="02A13A46" w14:textId="77777777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chirurgiczne przerwanie krążenia jelitowo-wątrobowego;</w:t>
            </w:r>
          </w:p>
          <w:p w14:paraId="7E453856" w14:textId="77777777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historia przeszczepienia wątroby;</w:t>
            </w:r>
          </w:p>
          <w:p w14:paraId="408F4231" w14:textId="77777777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zdekompensowana marskość wątroby;</w:t>
            </w:r>
          </w:p>
          <w:p w14:paraId="52EB2173" w14:textId="77777777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wcześniejsza lub obecna inna współistniejąca choroba wątroby;</w:t>
            </w:r>
          </w:p>
          <w:p w14:paraId="216F15D7" w14:textId="77777777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przewlekła biegunka wymagająca stałego podawania płynów dożylnie lub interwencji żywieniowej;</w:t>
            </w:r>
          </w:p>
          <w:p w14:paraId="3DA5A382" w14:textId="4FC25A0B" w:rsidR="007A7B02" w:rsidRPr="00D70B01" w:rsidRDefault="007A7B02" w:rsidP="00694F2F">
            <w:pPr>
              <w:numPr>
                <w:ilvl w:val="0"/>
                <w:numId w:val="4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występowanie lub obecność w przeszłości jakiejkolwiek innej choroby lub stanów, o których wiadomo, że zaburzają wchłanianie, dystrybucję, metabolizm lub wydalanie leków, w tym metabolizm soli żółciowych w</w:t>
            </w:r>
            <w:r w:rsidR="00711EBC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jelicie.</w:t>
            </w:r>
          </w:p>
          <w:p w14:paraId="167E9A3B" w14:textId="77777777" w:rsidR="007A7B02" w:rsidRPr="00D70B01" w:rsidRDefault="007A7B02" w:rsidP="007A7B02">
            <w:pPr>
              <w:spacing w:after="60" w:line="276" w:lineRule="auto"/>
              <w:ind w:left="285" w:right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EF8168" w14:textId="77777777" w:rsidR="007A7B02" w:rsidRPr="00D70B01" w:rsidRDefault="007A7B02" w:rsidP="00694F2F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200" w:hanging="218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/>
                <w:sz w:val="20"/>
                <w:szCs w:val="20"/>
              </w:rPr>
              <w:t>Określenie czasu leczenia w programie</w:t>
            </w:r>
          </w:p>
          <w:p w14:paraId="2C44408F" w14:textId="2636A204" w:rsidR="007A7B02" w:rsidRPr="00D70B01" w:rsidRDefault="007A7B02" w:rsidP="007A7B0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Czas leczenia w programie określa lekarz na podstawie kryteriów włączenia i kryteriów wyłączenia z programu.</w:t>
            </w:r>
          </w:p>
          <w:p w14:paraId="176D8210" w14:textId="77777777" w:rsidR="007A7B02" w:rsidRPr="00D70B01" w:rsidRDefault="007A7B02" w:rsidP="007A7B0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3632C" w14:textId="1DD348DA" w:rsidR="007A7B02" w:rsidRPr="00D70B01" w:rsidRDefault="007A7B02" w:rsidP="007A7B02">
            <w:pPr>
              <w:spacing w:after="60" w:line="276" w:lineRule="auto"/>
              <w:ind w:right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 przypadku zajścia w ciążę leczenie zostaje zawieszone. W</w:t>
            </w:r>
            <w:r w:rsidR="00F41A3E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trakcie zawieszenia terapii pacjentka pozostaje w programie lekowym i jest obserwowana w zakresie kontroli objawów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choroby. Po porodzie i okresie karmienia piersią lekarz może zdecydować o ponownym rozpoczęciu podawania leku w</w:t>
            </w:r>
            <w:r w:rsidR="00F41A3E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przypadku istotnego pogorszenia kontroli choroby.</w:t>
            </w:r>
          </w:p>
          <w:p w14:paraId="6BA07423" w14:textId="77777777" w:rsidR="007A7B02" w:rsidRPr="00D70B01" w:rsidRDefault="007A7B02" w:rsidP="007A7B02">
            <w:pPr>
              <w:spacing w:after="60" w:line="276" w:lineRule="auto"/>
              <w:ind w:right="4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9444CD" w14:textId="2A6ACA02" w:rsidR="007A7B02" w:rsidRPr="00D70B01" w:rsidRDefault="007A7B02" w:rsidP="00694F2F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200" w:hanging="218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/>
                <w:sz w:val="20"/>
                <w:szCs w:val="20"/>
              </w:rPr>
              <w:t>Kryteria wyłączenia z programu</w:t>
            </w:r>
          </w:p>
          <w:p w14:paraId="2420171C" w14:textId="5A93C88D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brak skuteczności leczenia stwierdzony na podstawie oceny głównych wskaźników efektywności terapii i</w:t>
            </w:r>
            <w:r w:rsidR="004B794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oczekiwanych korzyści zgodnie z treścią pkt.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3. Ocena skuteczności leczenia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234E35" w14:textId="77777777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wystąpienie objawów nadwrażliwości na którąkolwiek substancję czynną lub którąkolwiek substancję pomocniczą;</w:t>
            </w:r>
          </w:p>
          <w:p w14:paraId="2B7C3A92" w14:textId="2E58D179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stwierdzenie nieakceptowalnej lub zagrażającej życiu toksyczności pomimo zastosowania adekwatnego postępowania;</w:t>
            </w:r>
          </w:p>
          <w:p w14:paraId="57DFBB7E" w14:textId="77777777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3D28C36A" w14:textId="77777777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pogorszenie jakości życia o istotnym znaczeniu według oceny lekarza prowadzącego;</w:t>
            </w:r>
          </w:p>
          <w:p w14:paraId="5FDD8FE6" w14:textId="77777777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okres ciąży lub karmienia piersią – gdy leczenie nie zostaje zawieszone zgodnie z opisem w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Określenie czasu leczenia w programie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E654F4" w14:textId="77777777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opiekunów;</w:t>
            </w:r>
          </w:p>
          <w:p w14:paraId="0C55EBC9" w14:textId="77777777" w:rsidR="007A7B02" w:rsidRPr="00D70B01" w:rsidRDefault="007A7B02" w:rsidP="00694F2F">
            <w:pPr>
              <w:numPr>
                <w:ilvl w:val="0"/>
                <w:numId w:val="8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pacjent, u którego zaprzestano podawania substancji czynnej wymienionej w programie i zastosowanej zgodnie z jego treścią z powodu nieskuteczności lub braku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odpowiedzi na leczenie nie powinien być ponownie włączany do terapii tą samą substancją czynną.</w:t>
            </w:r>
          </w:p>
          <w:p w14:paraId="57433B03" w14:textId="77777777" w:rsidR="007A7B02" w:rsidRPr="00D70B01" w:rsidRDefault="007A7B02" w:rsidP="007A7B02">
            <w:pPr>
              <w:pStyle w:val="Akapitzlist"/>
              <w:spacing w:after="60" w:line="276" w:lineRule="auto"/>
              <w:ind w:left="286" w:right="69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3BB662" w14:textId="1034B500" w:rsidR="007A7B02" w:rsidRPr="00D70B01" w:rsidRDefault="007A7B02" w:rsidP="00694F2F">
            <w:pPr>
              <w:pStyle w:val="Akapitzlist"/>
              <w:numPr>
                <w:ilvl w:val="0"/>
                <w:numId w:val="6"/>
              </w:numPr>
              <w:spacing w:after="60" w:line="276" w:lineRule="auto"/>
              <w:ind w:left="200" w:hanging="218"/>
              <w:contextualSpacing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/>
                <w:sz w:val="20"/>
                <w:szCs w:val="20"/>
              </w:rPr>
              <w:t>Kryteria ponownego włączenia do programu</w:t>
            </w:r>
          </w:p>
          <w:p w14:paraId="12D0B4B5" w14:textId="04112DB7" w:rsidR="007A7B02" w:rsidRPr="00D70B01" w:rsidRDefault="007A7B02" w:rsidP="00694F2F">
            <w:pPr>
              <w:numPr>
                <w:ilvl w:val="0"/>
                <w:numId w:val="9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do programu może być ponownie włączony pacjent, u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którego zaprzestano podawania substancji czynnej wymienionej w programie i zastosowanej zgodnie z jego treścią z powodu wystąpienia działań niepożądanych, które ustąpiły po odstawieniu leku bądź zastosowanym leczeniu i w opinii lekarza prowadzącego powrót do terapii tą samą substancją czynną nie stanowi ryzyka dla pacjenta, przy spełnieniu przez niego kryteriów kwalifikacji oraz braku spełnienia kryteriów wykluczenia, w sytuacji gdy wstrzymanie leczenia trwało nie dłużej niż 3 miesiące;</w:t>
            </w:r>
          </w:p>
          <w:p w14:paraId="5E77A098" w14:textId="77777777" w:rsidR="00064807" w:rsidRDefault="007A7B02" w:rsidP="00DB3077">
            <w:pPr>
              <w:numPr>
                <w:ilvl w:val="0"/>
                <w:numId w:val="9"/>
              </w:numPr>
              <w:spacing w:after="60" w:line="276" w:lineRule="auto"/>
              <w:ind w:left="454" w:right="68" w:hanging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do programu może być ponownie włączony pacjent, u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którego zaprzestano podawania substancji czynnej wymienionej w programie z powodu wystąpienia chorób współistniejących i sytuacji niezależnych od pacjenta, po ustąpieniu wyżej wymienionych okoliczności, jeżeli w</w:t>
            </w:r>
            <w:r w:rsidR="00E87FA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opinii lekarza prowadzącego powrót do terapii tą samą substancją czynną nie stanowi ryzyka dla pacjenta, przy spełnieniu przez niego kryteriów kwalifikacji oraz braku spełnienia kryteriów wykluczenia, w sytuacji gdy wstrzymanie leczenia trwało nie dłużej niż 3 miesiące</w:t>
            </w:r>
            <w:r w:rsidR="002F4C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210727" w14:textId="15629CB5" w:rsidR="002F4C22" w:rsidRPr="00DB3077" w:rsidRDefault="002F4C22" w:rsidP="002F4C22">
            <w:pPr>
              <w:spacing w:after="60" w:line="276" w:lineRule="auto"/>
              <w:ind w:right="6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2F38" w14:textId="4A324403" w:rsidR="007A7B02" w:rsidRPr="00D70B01" w:rsidRDefault="007A7B02" w:rsidP="00694F2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60" w:line="276" w:lineRule="auto"/>
              <w:ind w:left="357" w:hanging="3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Dawkowanie</w:t>
            </w:r>
          </w:p>
          <w:p w14:paraId="4C4ECADD" w14:textId="2B1931A6" w:rsidR="00A62AC7" w:rsidRPr="00D70B01" w:rsidRDefault="00A62AC7" w:rsidP="002F4C22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Leczenie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powinien rozpoczynać i nadzorować lekarz mający doświadczenie w leczeniu zespołu Alagille'a.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05463744" w14:textId="77777777" w:rsidR="007A7B02" w:rsidRPr="00D70B01" w:rsidRDefault="007A7B02" w:rsidP="002F4C22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maraliksybat</w:t>
            </w:r>
          </w:p>
          <w:p w14:paraId="71C2CD7E" w14:textId="77777777" w:rsidR="007A7B02" w:rsidRPr="00D70B01" w:rsidRDefault="007A7B02" w:rsidP="002F4C2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Dawkowanie i sposób podawania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maraliksybatu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– zgodnie z aktualną Charakterystyką Produktu Leczniczego.</w:t>
            </w:r>
          </w:p>
          <w:p w14:paraId="595257E7" w14:textId="77777777" w:rsidR="007A7B02" w:rsidRPr="00D70B01" w:rsidRDefault="007A7B02" w:rsidP="002F4C2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3E61F3" w14:textId="77777777" w:rsidR="008F0E4E" w:rsidRPr="00D70B01" w:rsidRDefault="008F0E4E" w:rsidP="002F4C22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odewiksybat</w:t>
            </w:r>
          </w:p>
          <w:p w14:paraId="7B67C3BB" w14:textId="1F16E23D" w:rsidR="007A7B02" w:rsidRPr="00D70B01" w:rsidRDefault="008F0E4E" w:rsidP="002F4C2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Dawkowanie i sposób podawania </w:t>
            </w:r>
            <w:r w:rsidR="0083777A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odewiksybatu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– zgodnie z aktualną Charakterystyką Produktu Leczniczego.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CC0D" w14:textId="77777777" w:rsidR="00064807" w:rsidRPr="00D70B01" w:rsidRDefault="00064807" w:rsidP="00694F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6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Badania przy kwalifikacji</w:t>
            </w:r>
          </w:p>
          <w:p w14:paraId="15281D4A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morfologia krwi z rozmazem;</w:t>
            </w:r>
          </w:p>
          <w:p w14:paraId="3EF84ABE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kwasów żółciowych;</w:t>
            </w:r>
          </w:p>
          <w:p w14:paraId="565830F7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asparaginianowej (AST);</w:t>
            </w:r>
          </w:p>
          <w:p w14:paraId="105B5AAF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1BB2B515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aktywności gamma glutamylotransferazy (GGT);</w:t>
            </w:r>
          </w:p>
          <w:p w14:paraId="31D9A160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bilirubiny całkowitej i bezpośredniej;</w:t>
            </w:r>
          </w:p>
          <w:p w14:paraId="0510A2F1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ocena stężenia międzynarodowego współczynnika znormalizowanego (INR);</w:t>
            </w:r>
          </w:p>
          <w:p w14:paraId="6A479A77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kreatyniny i mocznika;</w:t>
            </w:r>
          </w:p>
          <w:p w14:paraId="57FDB9CB" w14:textId="62084A2C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poziomu witamin rozpuszczalnych w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tłuszczach: A, D, E;</w:t>
            </w:r>
          </w:p>
          <w:p w14:paraId="3BCD9689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cholesterolu całkowitego, cholesterolu HDL, cholesterolu LDL i triglicerydów (lipidogram);</w:t>
            </w:r>
          </w:p>
          <w:p w14:paraId="0E2CD3DE" w14:textId="22DB83AB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badanie przedmiotowe wraz z oceną nasilenia świądu</w:t>
            </w:r>
            <w:r w:rsidR="009467F4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użyciem 5-punktowej skali </w:t>
            </w:r>
            <w:proofErr w:type="gramStart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ItchRO(</w:t>
            </w:r>
            <w:proofErr w:type="gramEnd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Obs)</w:t>
            </w:r>
            <w:r w:rsidR="0093373F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- dotyczy leczenia </w:t>
            </w:r>
            <w:r w:rsidR="0093373F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="009467F4"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B3CFC68" w14:textId="57441548" w:rsidR="0093373F" w:rsidRPr="00D70B01" w:rsidRDefault="0093373F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badanie przedmiotowe wraz z oceną nasilenia świądu z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użyciem 5-punktowej skali </w:t>
            </w:r>
            <w:r w:rsidR="00331623" w:rsidRPr="00D70B01">
              <w:rPr>
                <w:rFonts w:ascii="Times New Roman" w:hAnsi="Times New Roman" w:cs="Times New Roman"/>
                <w:sz w:val="20"/>
                <w:szCs w:val="20"/>
              </w:rPr>
              <w:t>Albireo ObsRO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lub 5-punktowej skali Whitington’a – dotyczy leczenia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C8AC29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badania ultrasonograficzne jamy brzusznej (ocena wątroby, dróg żółciowych, śledziony oraz układu moczowego);</w:t>
            </w:r>
          </w:p>
          <w:p w14:paraId="758189CB" w14:textId="6A9CDD8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pomiary antropometryczne - wzrost, masa ciała, BMI (u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dzieci);</w:t>
            </w:r>
          </w:p>
          <w:p w14:paraId="059015FA" w14:textId="77777777" w:rsidR="007A7B02" w:rsidRPr="00D70B01" w:rsidRDefault="007A7B02" w:rsidP="00694F2F">
            <w:pPr>
              <w:pStyle w:val="Akapitzlist"/>
              <w:numPr>
                <w:ilvl w:val="0"/>
                <w:numId w:val="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test ciążowy (u kobiet w wieku rozrodczym).</w:t>
            </w:r>
          </w:p>
          <w:p w14:paraId="03A7DA96" w14:textId="77777777" w:rsidR="007A7B02" w:rsidRPr="00D70B01" w:rsidRDefault="007A7B02" w:rsidP="007A7B02">
            <w:p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959E6" w14:textId="77777777" w:rsidR="007A7B02" w:rsidRPr="00D70B01" w:rsidRDefault="007A7B02" w:rsidP="00694F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Monitorowanie bezpieczeństwa leczenia</w:t>
            </w:r>
          </w:p>
          <w:p w14:paraId="1F7AA93E" w14:textId="0D276637" w:rsidR="007A7B02" w:rsidRPr="00D70B01" w:rsidRDefault="007A7B02" w:rsidP="009467F4">
            <w:pPr>
              <w:spacing w:after="60" w:line="276" w:lineRule="auto"/>
              <w:ind w:left="1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Pierwsze badanie monitorujące należy wykonać po 4 tygodniach, od rozpoczęcia leczenia.</w:t>
            </w:r>
          </w:p>
          <w:p w14:paraId="3FBB7D73" w14:textId="13C84CD1" w:rsidR="007A7B02" w:rsidRPr="00D70B01" w:rsidRDefault="007A7B02" w:rsidP="009467F4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Badania kontrolne wykonywane nie rzadziej niż raz na miesiąc, a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po stabilizacji stanu klinicznego, nie rzadziej niż raz na 3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miesiące:</w:t>
            </w:r>
          </w:p>
          <w:p w14:paraId="16C87B06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morfologia krwi z rozmazem;</w:t>
            </w:r>
          </w:p>
          <w:p w14:paraId="24244B48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kwasów żółciowych;</w:t>
            </w:r>
          </w:p>
          <w:p w14:paraId="1F68C22E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asparaginianowej (AST);</w:t>
            </w:r>
          </w:p>
          <w:p w14:paraId="10EE1AF5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198CDDFB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aktywności gamma glutamylotransferazy (GGT);</w:t>
            </w:r>
          </w:p>
          <w:p w14:paraId="4C2CA9C5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bilirubiny całkowitej i bezpośredniej;</w:t>
            </w:r>
          </w:p>
          <w:p w14:paraId="6879BE42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kreatyniny i mocznika;</w:t>
            </w:r>
          </w:p>
          <w:p w14:paraId="2184E60F" w14:textId="1E184B06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badanie przedmiotowe wraz z oceną nasilenia świądu z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użyciem 5-punktowej skali </w:t>
            </w:r>
            <w:proofErr w:type="gramStart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ItchRO(</w:t>
            </w:r>
            <w:proofErr w:type="gramEnd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Obs)</w:t>
            </w:r>
            <w:r w:rsidR="00B625BD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– dotyczy leczenia </w:t>
            </w:r>
            <w:r w:rsidR="00B625BD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CBAC76" w14:textId="7D718655" w:rsidR="00B625BD" w:rsidRPr="00D70B01" w:rsidRDefault="00B625BD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badanie przedmiotowe wraz z oceną nasilenia świądu z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użyciem 5-punktowej skali </w:t>
            </w:r>
            <w:r w:rsidR="00331623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Albireo ObsRO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lub 5-punktowej skali Whitington’a – dotyczy leczenia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27A9F80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stężenia cholesterolu całkowitego, cholesterolu HDL, cholesterolu LDL i triglicerydów (lipidogram);</w:t>
            </w:r>
          </w:p>
          <w:p w14:paraId="3545A101" w14:textId="77777777" w:rsidR="007A7B02" w:rsidRPr="00D70B01" w:rsidRDefault="007A7B02" w:rsidP="00694F2F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test ciążowy (u kobiet w wieku rozrodczym).</w:t>
            </w:r>
          </w:p>
          <w:p w14:paraId="4B3E8359" w14:textId="4CB9F16B" w:rsidR="007A7B02" w:rsidRPr="00D70B01" w:rsidRDefault="007A7B02" w:rsidP="009467F4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Badania kontrolne wykonywane nie rzadziej niż raz na 3</w:t>
            </w:r>
            <w:r w:rsidR="00C90266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miesiące:</w:t>
            </w:r>
          </w:p>
          <w:p w14:paraId="3841D1F6" w14:textId="20569A38" w:rsidR="007A7B02" w:rsidRPr="00D70B01" w:rsidRDefault="007A7B02" w:rsidP="00694F2F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oznaczenie poziomu witamin rozpuszczalnych w</w:t>
            </w:r>
            <w:r w:rsidR="00C90266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tłuszczach: A, D, E;</w:t>
            </w:r>
          </w:p>
          <w:p w14:paraId="5020A208" w14:textId="77777777" w:rsidR="007A7B02" w:rsidRPr="00D70B01" w:rsidRDefault="007A7B02" w:rsidP="00694F2F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ocena stężenia międzynarodowego współczynnika znormalizowanego (INR);</w:t>
            </w:r>
          </w:p>
          <w:p w14:paraId="0EF4FAAE" w14:textId="77777777" w:rsidR="007A7B02" w:rsidRPr="00D70B01" w:rsidRDefault="007A7B02" w:rsidP="00694F2F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badania ultrasonograficzne jamy brzusznej (ocena wątroby, dróg żółciowych, śledziony oraz układu moczowego);</w:t>
            </w:r>
          </w:p>
          <w:p w14:paraId="67419CA8" w14:textId="0C7DA8F0" w:rsidR="007A7B02" w:rsidRPr="00D70B01" w:rsidRDefault="007A7B02" w:rsidP="00694F2F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pomiary antropometryczne - wzrost, masa ciała, BMI (u</w:t>
            </w:r>
            <w:r w:rsidR="00C90266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dzieci);</w:t>
            </w:r>
          </w:p>
          <w:p w14:paraId="5B23C2C1" w14:textId="77777777" w:rsidR="007A7B02" w:rsidRPr="00D70B01" w:rsidRDefault="007A7B02" w:rsidP="00694F2F">
            <w:pPr>
              <w:pStyle w:val="Akapitzlist"/>
              <w:numPr>
                <w:ilvl w:val="0"/>
                <w:numId w:val="12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konsultacje w razie wskazań klinicznych: okulistyczna, neurologiczna, kardiologiczna, nefrologiczna, gastrologiczna.</w:t>
            </w:r>
          </w:p>
          <w:p w14:paraId="05F34B45" w14:textId="0C73E2CB" w:rsidR="007A7B02" w:rsidRPr="00D70B01" w:rsidRDefault="007A7B02" w:rsidP="009467F4">
            <w:pPr>
              <w:spacing w:after="60" w:line="276" w:lineRule="auto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Regularne monitorowanie w celu odpowiedniego nawodnienia u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świadczeniobiorców, u których występuje biegunka.</w:t>
            </w:r>
          </w:p>
          <w:p w14:paraId="0A57B183" w14:textId="77777777" w:rsidR="009467F4" w:rsidRPr="00D70B01" w:rsidRDefault="009467F4" w:rsidP="009467F4">
            <w:pPr>
              <w:spacing w:after="60" w:line="276" w:lineRule="auto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9B51C8" w14:textId="60AC8589" w:rsidR="007A7B02" w:rsidRPr="00D70B01" w:rsidRDefault="007A7B02" w:rsidP="00694F2F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Ocena skuteczności leczenia</w:t>
            </w:r>
          </w:p>
          <w:p w14:paraId="3C4FA7BC" w14:textId="3B78D404" w:rsidR="007B4B13" w:rsidRPr="00D70B01" w:rsidRDefault="007B4B13" w:rsidP="007B4B1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Skuteczność leczenia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06C0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lub </w:t>
            </w:r>
            <w:r w:rsidR="00AE06C0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odewiksybatem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oceniana jest na podstawie:</w:t>
            </w:r>
          </w:p>
          <w:p w14:paraId="56E2AD2A" w14:textId="06B040BB" w:rsidR="007B4B13" w:rsidRPr="00D70B01" w:rsidRDefault="007B4B13" w:rsidP="007B4B1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stężenia kwasów żółciowych w surowicy krwi – leczenie uznaje się za </w:t>
            </w:r>
            <w:r w:rsidR="002F4C22" w:rsidRPr="00D70B01">
              <w:rPr>
                <w:rFonts w:ascii="Times New Roman" w:hAnsi="Times New Roman" w:cs="Times New Roman"/>
                <w:sz w:val="20"/>
                <w:szCs w:val="20"/>
              </w:rPr>
              <w:t>skuteczne,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jeśli nastąpi zmniejszenie stężenia kwasów żółciowych w surowicy o co najmniej 50% względem wartości początkowych lub zostanie osiągnięte stężenie </w:t>
            </w:r>
            <w:r w:rsidR="00A6657D" w:rsidRPr="00D70B01">
              <w:rPr>
                <w:rFonts w:ascii="Times New Roman" w:hAnsi="Times New Roman" w:cs="Times New Roman"/>
                <w:sz w:val="20"/>
                <w:szCs w:val="20"/>
              </w:rPr>
              <w:t>≤</w:t>
            </w:r>
            <w:r w:rsidR="00A665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6657D" w:rsidRPr="00D70B01">
              <w:rPr>
                <w:rFonts w:ascii="Times New Roman" w:hAnsi="Times New Roman" w:cs="Times New Roman"/>
                <w:sz w:val="20"/>
                <w:szCs w:val="20"/>
              </w:rPr>
              <w:t>0 μmol/l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1A043E" w14:textId="2D920141" w:rsidR="007B4B13" w:rsidRPr="00D70B01" w:rsidRDefault="007B4B13" w:rsidP="007B4B13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oceny świądu wg skali specyficznej dla schorzenia wg</w:t>
            </w:r>
            <w:r w:rsidR="00DB3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obserwatora </w:t>
            </w:r>
            <w:r w:rsidR="00AE06C0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ItchRO(</w:t>
            </w:r>
            <w:proofErr w:type="gramEnd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Obs) </w:t>
            </w:r>
            <w:r w:rsidR="00AE06C0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w przypadku leczenia </w:t>
            </w:r>
            <w:r w:rsidR="00AE06C0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maraliksybatem </w:t>
            </w:r>
            <w:r w:rsidR="00AE06C0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albo Albireo ObsRO lub Whitington’a w przypadku leczenia </w:t>
            </w:r>
            <w:r w:rsidR="00AE06C0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="00AE06C0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– opiekunowie pacjenta wypełniają codziennie rano i wieczorem kwestionariusz. Ocenie poddawane są wyniki średnie z</w:t>
            </w:r>
            <w:r w:rsidR="00AE06C0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każdego tygodnia obserwacji. Leczenie uznaje się za </w:t>
            </w:r>
            <w:r w:rsidR="002F4C22" w:rsidRPr="00D70B01">
              <w:rPr>
                <w:rFonts w:ascii="Times New Roman" w:hAnsi="Times New Roman" w:cs="Times New Roman"/>
                <w:sz w:val="20"/>
                <w:szCs w:val="20"/>
              </w:rPr>
              <w:t>skuteczne,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jeśli zostanie osiągnięta pozytywna ocena świądu rozumiana jako zmniejszenie nasilenia świądu o co najmniej jeden punkt w porównaniu do wartości wyjściowej (w momencie kwalifikacji do programu) w</w:t>
            </w:r>
            <w:r w:rsidR="00C90266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ostatnich 6 tygodniach 3 miesięcznego okresu obserwacji.</w:t>
            </w:r>
          </w:p>
          <w:p w14:paraId="55DCEC8E" w14:textId="5F0637E1" w:rsidR="007B4B13" w:rsidRPr="00D70B01" w:rsidRDefault="007B4B13" w:rsidP="002F4C2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AED0C5" w14:textId="516274A2" w:rsidR="007A7B02" w:rsidRPr="00D70B01" w:rsidRDefault="007A7B02" w:rsidP="002F4C2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Ocenę skuteczności leczenia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4996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r w:rsidR="003C4996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odewiksybatem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wykonuje się w 3 miesiącu od rozpoczęcia terapii, następnie co 3 miesiące.</w:t>
            </w:r>
          </w:p>
          <w:p w14:paraId="39CAED18" w14:textId="77777777" w:rsidR="002A7D0A" w:rsidRPr="00D70B01" w:rsidRDefault="002A7D0A" w:rsidP="002F4C22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DFD0F3" w14:textId="298BDF5D" w:rsidR="00A51138" w:rsidRPr="00D70B01" w:rsidRDefault="007A7B02" w:rsidP="002F4C22">
            <w:pPr>
              <w:spacing w:after="60" w:line="276" w:lineRule="auto"/>
              <w:ind w:left="1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Odpowiedź kliniczna na leczenie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="003C4996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3C4996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albo </w:t>
            </w:r>
            <w:r w:rsidR="003C4996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, definiowana jest jako spełnienie jednego z</w:t>
            </w:r>
            <w:r w:rsidR="003C4996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warunków określonych w punktach 1 i 2.</w:t>
            </w:r>
          </w:p>
          <w:p w14:paraId="7D12660C" w14:textId="77777777" w:rsidR="00A51138" w:rsidRPr="00D70B01" w:rsidRDefault="00A51138" w:rsidP="002F4C22">
            <w:pPr>
              <w:spacing w:after="60" w:line="276" w:lineRule="auto"/>
              <w:ind w:left="1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9B685A" w14:textId="77777777" w:rsidR="007A7B02" w:rsidRPr="00D70B01" w:rsidRDefault="007A7B02" w:rsidP="002F4C2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70B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Monitorowanie programu</w:t>
            </w:r>
          </w:p>
          <w:p w14:paraId="34FF0A9B" w14:textId="77777777" w:rsidR="007A7B02" w:rsidRPr="00D70B01" w:rsidRDefault="007A7B02" w:rsidP="002F4C22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gromadzenie w dokumentacji medycznej pacjenta danych dotyczących monitorowania leczenia i każdorazowe ich 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przedstawianie na żądanie kontrolerów Narodowego Funduszu Zdrowia;</w:t>
            </w:r>
          </w:p>
          <w:p w14:paraId="3746A1D8" w14:textId="77777777" w:rsidR="007A7B02" w:rsidRPr="00D70B01" w:rsidRDefault="007A7B02" w:rsidP="002F4C22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uzupełnianie danych zawartych w elektronicznym systemie monitorowania programów lekowych dostępnym za pomocą aplikacji internetowej udostępnionej przez OW NFZ, z częstotliwością zgodną z opisem programu oraz na zakończenie leczenia, w tym przekazywanie danych dotyczących wskaźników efektywności:</w:t>
            </w:r>
          </w:p>
          <w:p w14:paraId="2BBBA487" w14:textId="5842C157" w:rsidR="007A7B02" w:rsidRPr="00D70B01" w:rsidRDefault="007A7B02" w:rsidP="002F4C22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right="85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stężenia kwasów żółciowych,</w:t>
            </w:r>
          </w:p>
          <w:p w14:paraId="58A38657" w14:textId="4E7636F4" w:rsidR="007A7B02" w:rsidRPr="00D70B01" w:rsidRDefault="007A7B02" w:rsidP="002F4C22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right="85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oceny świądu oraz jakości snu wg skali </w:t>
            </w:r>
            <w:proofErr w:type="gramStart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ItchRO(</w:t>
            </w:r>
            <w:proofErr w:type="gramEnd"/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Obs)</w:t>
            </w:r>
            <w:r w:rsidR="007B7C09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w</w:t>
            </w:r>
            <w:r w:rsidR="00C90266" w:rsidRPr="00D70B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B7C09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przypadku leczenia </w:t>
            </w:r>
            <w:r w:rsidR="007B7C09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maraliksybatem</w:t>
            </w:r>
            <w:r w:rsidR="007B7C09"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 albo Albireo ObsRO lub Whitington’a w przypadku leczenia </w:t>
            </w:r>
            <w:r w:rsidR="007B7C09"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odewiksybatem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4659365" w14:textId="0E8C4438" w:rsidR="007A7B02" w:rsidRPr="00D70B01" w:rsidRDefault="007A7B02" w:rsidP="002F4C22">
            <w:pPr>
              <w:pStyle w:val="Akapitzlist"/>
              <w:numPr>
                <w:ilvl w:val="0"/>
                <w:numId w:val="15"/>
              </w:numPr>
              <w:spacing w:after="60" w:line="276" w:lineRule="auto"/>
              <w:ind w:left="681" w:right="85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 xml:space="preserve">zmiany stężenia parametrów laboratoryjnych wyszczególnionych w pkt 2 </w:t>
            </w:r>
            <w:r w:rsidRPr="00D70B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Monitorowanie bezpieczeństwa leczenia</w:t>
            </w: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F1070E4" w14:textId="3E70EDCF" w:rsidR="00064807" w:rsidRPr="00DB3077" w:rsidRDefault="007A7B02" w:rsidP="002F4C22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4" w:right="40" w:hanging="22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B01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 rozliczeniowych do NFZ (informacje przekazuje się do NFZ w formie papierowej lub w formie elektronicznej) zgodnie z wymaganiami opublikowanymi przez NFZ.</w:t>
            </w:r>
          </w:p>
        </w:tc>
      </w:tr>
    </w:tbl>
    <w:p w14:paraId="2AD11912" w14:textId="77777777" w:rsidR="00B23E51" w:rsidRDefault="00B23E51"/>
    <w:sectPr w:rsidR="00B23E51" w:rsidSect="00C66DE3">
      <w:footerReference w:type="default" r:id="rId8"/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0A822" w14:textId="77777777" w:rsidR="00907A17" w:rsidRDefault="00907A17">
      <w:pPr>
        <w:spacing w:after="0" w:line="240" w:lineRule="auto"/>
      </w:pPr>
      <w:r>
        <w:separator/>
      </w:r>
    </w:p>
  </w:endnote>
  <w:endnote w:type="continuationSeparator" w:id="0">
    <w:p w14:paraId="6EE9FC81" w14:textId="77777777" w:rsidR="00907A17" w:rsidRDefault="0090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E4EC" w14:textId="77777777" w:rsidR="000F688B" w:rsidRPr="001B56AA" w:rsidRDefault="000F688B" w:rsidP="001B56AA">
    <w:pPr>
      <w:spacing w:after="0" w:line="240" w:lineRule="auto"/>
      <w:jc w:val="center"/>
      <w:rPr>
        <w:rFonts w:eastAsia="Times New Roman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FE2D1" w14:textId="77777777" w:rsidR="00907A17" w:rsidRDefault="00907A17">
      <w:pPr>
        <w:spacing w:after="0" w:line="240" w:lineRule="auto"/>
      </w:pPr>
      <w:r>
        <w:separator/>
      </w:r>
    </w:p>
  </w:footnote>
  <w:footnote w:type="continuationSeparator" w:id="0">
    <w:p w14:paraId="18C7F517" w14:textId="77777777" w:rsidR="00907A17" w:rsidRDefault="0090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C71B1"/>
    <w:multiLevelType w:val="hybridMultilevel"/>
    <w:tmpl w:val="BCD254B4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A2DEB"/>
    <w:multiLevelType w:val="hybridMultilevel"/>
    <w:tmpl w:val="355C83C4"/>
    <w:lvl w:ilvl="0" w:tplc="8F147CDE">
      <w:start w:val="1"/>
      <w:numFmt w:val="decimal"/>
      <w:suff w:val="space"/>
      <w:lvlText w:val="%1)"/>
      <w:lvlJc w:val="left"/>
      <w:pPr>
        <w:ind w:left="2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930E3B"/>
    <w:multiLevelType w:val="hybridMultilevel"/>
    <w:tmpl w:val="68CCB7F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80461"/>
    <w:multiLevelType w:val="hybridMultilevel"/>
    <w:tmpl w:val="68CCB7F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E2CB8"/>
    <w:multiLevelType w:val="hybridMultilevel"/>
    <w:tmpl w:val="FC1205B4"/>
    <w:lvl w:ilvl="0" w:tplc="5B66D0F6">
      <w:start w:val="1"/>
      <w:numFmt w:val="decimal"/>
      <w:suff w:val="space"/>
      <w:lvlText w:val="%1)"/>
      <w:lvlJc w:val="left"/>
      <w:pPr>
        <w:ind w:left="2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16064A6"/>
    <w:multiLevelType w:val="hybridMultilevel"/>
    <w:tmpl w:val="68CCB7F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27B76"/>
    <w:multiLevelType w:val="multilevel"/>
    <w:tmpl w:val="5B0C694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C0F29F2"/>
    <w:multiLevelType w:val="multilevel"/>
    <w:tmpl w:val="5B0C694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BD6BB6"/>
    <w:multiLevelType w:val="hybridMultilevel"/>
    <w:tmpl w:val="68CCB7F6"/>
    <w:lvl w:ilvl="0" w:tplc="A6BE3034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10747"/>
    <w:multiLevelType w:val="hybridMultilevel"/>
    <w:tmpl w:val="FC1205B4"/>
    <w:lvl w:ilvl="0" w:tplc="FFFFFFFF">
      <w:start w:val="1"/>
      <w:numFmt w:val="decimal"/>
      <w:suff w:val="space"/>
      <w:lvlText w:val="%1)"/>
      <w:lvlJc w:val="left"/>
      <w:pPr>
        <w:ind w:left="2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4F13DD"/>
    <w:multiLevelType w:val="hybridMultilevel"/>
    <w:tmpl w:val="080C02A2"/>
    <w:lvl w:ilvl="0" w:tplc="6EDEB290">
      <w:start w:val="1"/>
      <w:numFmt w:val="decimal"/>
      <w:suff w:val="space"/>
      <w:lvlText w:val="%1)"/>
      <w:lvlJc w:val="left"/>
      <w:pPr>
        <w:ind w:left="2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8EA248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7AE10C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EE787A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2A4064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14ACC6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420518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8674EC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FA4182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1C5E76"/>
    <w:multiLevelType w:val="multilevel"/>
    <w:tmpl w:val="606CA11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D9A72C3"/>
    <w:multiLevelType w:val="hybridMultilevel"/>
    <w:tmpl w:val="CB2CD1C4"/>
    <w:lvl w:ilvl="0" w:tplc="93C0AB0C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13" w15:restartNumberingAfterBreak="0">
    <w:nsid w:val="6DA21CEE"/>
    <w:multiLevelType w:val="hybridMultilevel"/>
    <w:tmpl w:val="FC1205B4"/>
    <w:lvl w:ilvl="0" w:tplc="FFFFFFFF">
      <w:start w:val="1"/>
      <w:numFmt w:val="decimal"/>
      <w:suff w:val="space"/>
      <w:lvlText w:val="%1)"/>
      <w:lvlJc w:val="left"/>
      <w:pPr>
        <w:ind w:left="2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2CA0AFD"/>
    <w:multiLevelType w:val="hybridMultilevel"/>
    <w:tmpl w:val="68CCB7F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A729B"/>
    <w:multiLevelType w:val="hybridMultilevel"/>
    <w:tmpl w:val="68CCB7F6"/>
    <w:lvl w:ilvl="0" w:tplc="FFFFFFFF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87334A"/>
    <w:multiLevelType w:val="hybridMultilevel"/>
    <w:tmpl w:val="A796C38C"/>
    <w:lvl w:ilvl="0" w:tplc="C83428B2">
      <w:start w:val="1"/>
      <w:numFmt w:val="decimal"/>
      <w:suff w:val="space"/>
      <w:lvlText w:val="%1."/>
      <w:lvlJc w:val="left"/>
      <w:pPr>
        <w:ind w:left="6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407031">
    <w:abstractNumId w:val="10"/>
  </w:num>
  <w:num w:numId="2" w16cid:durableId="1769497553">
    <w:abstractNumId w:val="8"/>
  </w:num>
  <w:num w:numId="3" w16cid:durableId="1468471733">
    <w:abstractNumId w:val="1"/>
  </w:num>
  <w:num w:numId="4" w16cid:durableId="1363091081">
    <w:abstractNumId w:val="4"/>
  </w:num>
  <w:num w:numId="5" w16cid:durableId="1213425444">
    <w:abstractNumId w:val="11"/>
  </w:num>
  <w:num w:numId="6" w16cid:durableId="2074966106">
    <w:abstractNumId w:val="16"/>
  </w:num>
  <w:num w:numId="7" w16cid:durableId="1950046207">
    <w:abstractNumId w:val="7"/>
  </w:num>
  <w:num w:numId="8" w16cid:durableId="259527439">
    <w:abstractNumId w:val="13"/>
  </w:num>
  <w:num w:numId="9" w16cid:durableId="1317800703">
    <w:abstractNumId w:val="9"/>
  </w:num>
  <w:num w:numId="10" w16cid:durableId="1696690837">
    <w:abstractNumId w:val="0"/>
  </w:num>
  <w:num w:numId="11" w16cid:durableId="1801921670">
    <w:abstractNumId w:val="15"/>
  </w:num>
  <w:num w:numId="12" w16cid:durableId="768739730">
    <w:abstractNumId w:val="3"/>
  </w:num>
  <w:num w:numId="13" w16cid:durableId="371661504">
    <w:abstractNumId w:val="2"/>
  </w:num>
  <w:num w:numId="14" w16cid:durableId="2071147481">
    <w:abstractNumId w:val="5"/>
  </w:num>
  <w:num w:numId="15" w16cid:durableId="1814717722">
    <w:abstractNumId w:val="12"/>
  </w:num>
  <w:num w:numId="16" w16cid:durableId="737360069">
    <w:abstractNumId w:val="6"/>
  </w:num>
  <w:num w:numId="17" w16cid:durableId="77479252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3DE"/>
    <w:rsid w:val="000044CB"/>
    <w:rsid w:val="0002308C"/>
    <w:rsid w:val="0002423C"/>
    <w:rsid w:val="00030F57"/>
    <w:rsid w:val="00031863"/>
    <w:rsid w:val="0004162A"/>
    <w:rsid w:val="0004508A"/>
    <w:rsid w:val="00052617"/>
    <w:rsid w:val="00053DF9"/>
    <w:rsid w:val="00064807"/>
    <w:rsid w:val="00065937"/>
    <w:rsid w:val="00072ADE"/>
    <w:rsid w:val="00076B9A"/>
    <w:rsid w:val="0008218C"/>
    <w:rsid w:val="00096FC9"/>
    <w:rsid w:val="000B3641"/>
    <w:rsid w:val="000E6181"/>
    <w:rsid w:val="000F688B"/>
    <w:rsid w:val="00101649"/>
    <w:rsid w:val="00110264"/>
    <w:rsid w:val="00123924"/>
    <w:rsid w:val="00125B36"/>
    <w:rsid w:val="001605D6"/>
    <w:rsid w:val="001638C7"/>
    <w:rsid w:val="001845EA"/>
    <w:rsid w:val="001A3C01"/>
    <w:rsid w:val="001B1976"/>
    <w:rsid w:val="001C099E"/>
    <w:rsid w:val="001D1CAA"/>
    <w:rsid w:val="001F1D87"/>
    <w:rsid w:val="001F2F5F"/>
    <w:rsid w:val="001F717B"/>
    <w:rsid w:val="002219CC"/>
    <w:rsid w:val="00226A1A"/>
    <w:rsid w:val="00231DF2"/>
    <w:rsid w:val="00252FDA"/>
    <w:rsid w:val="00263DD9"/>
    <w:rsid w:val="0027133E"/>
    <w:rsid w:val="002757B5"/>
    <w:rsid w:val="00280F49"/>
    <w:rsid w:val="002942FF"/>
    <w:rsid w:val="00297F83"/>
    <w:rsid w:val="002A7D0A"/>
    <w:rsid w:val="002B6344"/>
    <w:rsid w:val="002F3271"/>
    <w:rsid w:val="002F4C22"/>
    <w:rsid w:val="00331623"/>
    <w:rsid w:val="00332001"/>
    <w:rsid w:val="00346311"/>
    <w:rsid w:val="00363F14"/>
    <w:rsid w:val="003707E9"/>
    <w:rsid w:val="003A3409"/>
    <w:rsid w:val="003B08E8"/>
    <w:rsid w:val="003C4996"/>
    <w:rsid w:val="003E04FE"/>
    <w:rsid w:val="003F5BB2"/>
    <w:rsid w:val="00403141"/>
    <w:rsid w:val="00425A19"/>
    <w:rsid w:val="004444E5"/>
    <w:rsid w:val="00444939"/>
    <w:rsid w:val="004625AC"/>
    <w:rsid w:val="00464245"/>
    <w:rsid w:val="00464FEC"/>
    <w:rsid w:val="004B6DDE"/>
    <w:rsid w:val="004B7949"/>
    <w:rsid w:val="004D039B"/>
    <w:rsid w:val="004D70A5"/>
    <w:rsid w:val="004E5427"/>
    <w:rsid w:val="004F6007"/>
    <w:rsid w:val="0050622F"/>
    <w:rsid w:val="005249AB"/>
    <w:rsid w:val="00533F16"/>
    <w:rsid w:val="00540868"/>
    <w:rsid w:val="00555C90"/>
    <w:rsid w:val="00557B6F"/>
    <w:rsid w:val="0057229A"/>
    <w:rsid w:val="00580D45"/>
    <w:rsid w:val="0059222A"/>
    <w:rsid w:val="005A246C"/>
    <w:rsid w:val="005B5814"/>
    <w:rsid w:val="005C70D0"/>
    <w:rsid w:val="00620A3D"/>
    <w:rsid w:val="006247BE"/>
    <w:rsid w:val="00667DDD"/>
    <w:rsid w:val="006937A1"/>
    <w:rsid w:val="00694F2F"/>
    <w:rsid w:val="006C4B90"/>
    <w:rsid w:val="006D51AC"/>
    <w:rsid w:val="006F293B"/>
    <w:rsid w:val="006F42B7"/>
    <w:rsid w:val="006F4BAE"/>
    <w:rsid w:val="006F53B8"/>
    <w:rsid w:val="00711EBC"/>
    <w:rsid w:val="00715AAF"/>
    <w:rsid w:val="007352B1"/>
    <w:rsid w:val="00760F64"/>
    <w:rsid w:val="00770951"/>
    <w:rsid w:val="00770BCF"/>
    <w:rsid w:val="007753ED"/>
    <w:rsid w:val="00795852"/>
    <w:rsid w:val="007972D0"/>
    <w:rsid w:val="007A4010"/>
    <w:rsid w:val="007A6115"/>
    <w:rsid w:val="007A7B02"/>
    <w:rsid w:val="007B4B13"/>
    <w:rsid w:val="007B6CA1"/>
    <w:rsid w:val="007B7C09"/>
    <w:rsid w:val="007C433C"/>
    <w:rsid w:val="007E18E7"/>
    <w:rsid w:val="00810096"/>
    <w:rsid w:val="00813F65"/>
    <w:rsid w:val="00823930"/>
    <w:rsid w:val="00833520"/>
    <w:rsid w:val="0083777A"/>
    <w:rsid w:val="00843272"/>
    <w:rsid w:val="00865D7A"/>
    <w:rsid w:val="008709AB"/>
    <w:rsid w:val="0087182F"/>
    <w:rsid w:val="008734A8"/>
    <w:rsid w:val="008B5273"/>
    <w:rsid w:val="008B62BA"/>
    <w:rsid w:val="008B6A06"/>
    <w:rsid w:val="008D44F9"/>
    <w:rsid w:val="008D6880"/>
    <w:rsid w:val="008E0AC0"/>
    <w:rsid w:val="008F0E4E"/>
    <w:rsid w:val="008F2B53"/>
    <w:rsid w:val="009031CE"/>
    <w:rsid w:val="00907A17"/>
    <w:rsid w:val="0093373F"/>
    <w:rsid w:val="0094269A"/>
    <w:rsid w:val="009467F4"/>
    <w:rsid w:val="009601A0"/>
    <w:rsid w:val="00982D8E"/>
    <w:rsid w:val="009A5C11"/>
    <w:rsid w:val="009D1BA1"/>
    <w:rsid w:val="009F4FFA"/>
    <w:rsid w:val="009F5C08"/>
    <w:rsid w:val="009F5D6E"/>
    <w:rsid w:val="00A05034"/>
    <w:rsid w:val="00A06C73"/>
    <w:rsid w:val="00A07444"/>
    <w:rsid w:val="00A12AF6"/>
    <w:rsid w:val="00A3763F"/>
    <w:rsid w:val="00A5102E"/>
    <w:rsid w:val="00A51138"/>
    <w:rsid w:val="00A60C58"/>
    <w:rsid w:val="00A62809"/>
    <w:rsid w:val="00A62AC7"/>
    <w:rsid w:val="00A6657D"/>
    <w:rsid w:val="00A749A4"/>
    <w:rsid w:val="00A82BD6"/>
    <w:rsid w:val="00A82FCD"/>
    <w:rsid w:val="00A8565A"/>
    <w:rsid w:val="00A968FD"/>
    <w:rsid w:val="00AC5456"/>
    <w:rsid w:val="00AC7934"/>
    <w:rsid w:val="00AE06C0"/>
    <w:rsid w:val="00AE55FE"/>
    <w:rsid w:val="00AF4AAC"/>
    <w:rsid w:val="00B164B1"/>
    <w:rsid w:val="00B23090"/>
    <w:rsid w:val="00B2373D"/>
    <w:rsid w:val="00B23E51"/>
    <w:rsid w:val="00B2524E"/>
    <w:rsid w:val="00B270F3"/>
    <w:rsid w:val="00B625BD"/>
    <w:rsid w:val="00B650D4"/>
    <w:rsid w:val="00B7151C"/>
    <w:rsid w:val="00B87882"/>
    <w:rsid w:val="00BE210E"/>
    <w:rsid w:val="00BE7D34"/>
    <w:rsid w:val="00C04BB1"/>
    <w:rsid w:val="00C14D88"/>
    <w:rsid w:val="00C25C01"/>
    <w:rsid w:val="00C272B2"/>
    <w:rsid w:val="00C33976"/>
    <w:rsid w:val="00C33E17"/>
    <w:rsid w:val="00C703DE"/>
    <w:rsid w:val="00C803E2"/>
    <w:rsid w:val="00C83D0E"/>
    <w:rsid w:val="00C90266"/>
    <w:rsid w:val="00C9119A"/>
    <w:rsid w:val="00C97DC6"/>
    <w:rsid w:val="00CC4B5B"/>
    <w:rsid w:val="00D01F17"/>
    <w:rsid w:val="00D13711"/>
    <w:rsid w:val="00D230F7"/>
    <w:rsid w:val="00D31CA1"/>
    <w:rsid w:val="00D33E8A"/>
    <w:rsid w:val="00D61FA4"/>
    <w:rsid w:val="00D70B01"/>
    <w:rsid w:val="00D93987"/>
    <w:rsid w:val="00DA0715"/>
    <w:rsid w:val="00DA3E34"/>
    <w:rsid w:val="00DB3077"/>
    <w:rsid w:val="00DC627A"/>
    <w:rsid w:val="00DD0E5F"/>
    <w:rsid w:val="00DF02A6"/>
    <w:rsid w:val="00DF33E8"/>
    <w:rsid w:val="00DF5CF4"/>
    <w:rsid w:val="00E04261"/>
    <w:rsid w:val="00E2570F"/>
    <w:rsid w:val="00E27DEC"/>
    <w:rsid w:val="00E35966"/>
    <w:rsid w:val="00E42AFA"/>
    <w:rsid w:val="00E51FD7"/>
    <w:rsid w:val="00E57FDB"/>
    <w:rsid w:val="00E74BE0"/>
    <w:rsid w:val="00E77F94"/>
    <w:rsid w:val="00E83500"/>
    <w:rsid w:val="00E855B5"/>
    <w:rsid w:val="00E87FA7"/>
    <w:rsid w:val="00F0563E"/>
    <w:rsid w:val="00F06FDA"/>
    <w:rsid w:val="00F17E10"/>
    <w:rsid w:val="00F261F4"/>
    <w:rsid w:val="00F41A3E"/>
    <w:rsid w:val="00F43FBF"/>
    <w:rsid w:val="00F73C64"/>
    <w:rsid w:val="00F75330"/>
    <w:rsid w:val="00F96DE3"/>
    <w:rsid w:val="00FB0EE2"/>
    <w:rsid w:val="00FB33F7"/>
    <w:rsid w:val="00FB612E"/>
    <w:rsid w:val="00FC0C50"/>
    <w:rsid w:val="00FC6F42"/>
    <w:rsid w:val="00FD5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DFA5"/>
  <w15:docId w15:val="{39F74038-97CB-480F-9780-6E47E14A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37A1"/>
  </w:style>
  <w:style w:type="paragraph" w:styleId="Nagwek1">
    <w:name w:val="heading 1"/>
    <w:basedOn w:val="Normalny"/>
    <w:next w:val="Normalny"/>
    <w:link w:val="Nagwek1Znak"/>
    <w:uiPriority w:val="9"/>
    <w:qFormat/>
    <w:rsid w:val="00E57F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F5CF4"/>
    <w:pPr>
      <w:spacing w:after="0" w:line="240" w:lineRule="auto"/>
    </w:pPr>
    <w:rPr>
      <w:rFonts w:eastAsia="Times New Roman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F5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F5C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5C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C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C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CF4"/>
    <w:rPr>
      <w:rFonts w:ascii="Segoe UI" w:hAnsi="Segoe UI" w:cs="Segoe UI"/>
      <w:sz w:val="18"/>
      <w:szCs w:val="18"/>
    </w:rPr>
  </w:style>
  <w:style w:type="paragraph" w:customStyle="1" w:styleId="Tabela-TekstpodstawowyDolewej">
    <w:name w:val="Tabela - Tekst podstawowy Do lewej"/>
    <w:basedOn w:val="Normalny"/>
    <w:uiPriority w:val="7"/>
    <w:qFormat/>
    <w:rsid w:val="00F43FBF"/>
    <w:pPr>
      <w:spacing w:after="0" w:line="240" w:lineRule="auto"/>
    </w:pPr>
    <w:rPr>
      <w:rFonts w:ascii="Arial" w:eastAsia="Times New Roman" w:hAnsi="Arial" w:cs="Times New Roman"/>
      <w:bCs/>
      <w:sz w:val="16"/>
      <w:szCs w:val="20"/>
      <w:lang w:bidi="en-US"/>
    </w:rPr>
  </w:style>
  <w:style w:type="paragraph" w:styleId="Akapitzlist">
    <w:name w:val="List Paragraph"/>
    <w:aliases w:val="Styl moj,Akapit z listą11,podpunkt ankietyy,Table Legend,Bullet1,List Paragraph1,List Paragraph,BulletList 1,Bulletlist1,Colorful List - Accent 11,Bullets Points,Section 5,Bullet List,Bullet 1,Lijstalinenomala,aotm_załączniki,BulletPoints"/>
    <w:basedOn w:val="Normalny"/>
    <w:link w:val="AkapitzlistZnak"/>
    <w:uiPriority w:val="34"/>
    <w:qFormat/>
    <w:rsid w:val="004F6007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B6344"/>
    <w:rPr>
      <w:color w:val="0000FF"/>
      <w:u w:val="single"/>
    </w:rPr>
  </w:style>
  <w:style w:type="paragraph" w:styleId="Poprawka">
    <w:name w:val="Revision"/>
    <w:hidden/>
    <w:uiPriority w:val="99"/>
    <w:semiHidden/>
    <w:rsid w:val="00231DF2"/>
    <w:pPr>
      <w:spacing w:after="0" w:line="240" w:lineRule="auto"/>
    </w:pPr>
  </w:style>
  <w:style w:type="character" w:customStyle="1" w:styleId="AkapitzlistZnak">
    <w:name w:val="Akapit z listą Znak"/>
    <w:aliases w:val="Styl moj Znak,Akapit z listą11 Znak,podpunkt ankietyy Znak,Table Legend Znak,Bullet1 Znak,List Paragraph1 Znak,List Paragraph Znak,BulletList 1 Znak,Bulletlist1 Znak,Colorful List - Accent 11 Znak,Bullets Points Znak,Section 5 Znak"/>
    <w:link w:val="Akapitzlist"/>
    <w:uiPriority w:val="34"/>
    <w:qFormat/>
    <w:locked/>
    <w:rsid w:val="00A968FD"/>
  </w:style>
  <w:style w:type="paragraph" w:customStyle="1" w:styleId="pf0">
    <w:name w:val="pf0"/>
    <w:basedOn w:val="Normalny"/>
    <w:rsid w:val="00624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247BE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E57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83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D0E"/>
  </w:style>
  <w:style w:type="paragraph" w:styleId="Stopka">
    <w:name w:val="footer"/>
    <w:basedOn w:val="Normalny"/>
    <w:link w:val="StopkaZnak"/>
    <w:uiPriority w:val="99"/>
    <w:unhideWhenUsed/>
    <w:rsid w:val="00C83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1464D-B02E-4FB6-BA43-BE9983C3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1643</Words>
  <Characters>9864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Wilk Justyna</cp:lastModifiedBy>
  <cp:revision>5</cp:revision>
  <dcterms:created xsi:type="dcterms:W3CDTF">2026-06-12T08:29:00Z</dcterms:created>
  <dcterms:modified xsi:type="dcterms:W3CDTF">2026-06-16T06:39:00Z</dcterms:modified>
</cp:coreProperties>
</file>